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Ri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Città Metropolitana di Roma Capitale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